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82" w:rsidRDefault="00965B82" w:rsidP="00965B82">
      <w:pPr>
        <w:pStyle w:val="Web"/>
        <w:contextualSpacing/>
        <w:jc w:val="center"/>
      </w:pPr>
      <w:r>
        <w:t>ΔΕΛΤΙΟ ΤΥΠΟΥ</w:t>
      </w:r>
    </w:p>
    <w:p w:rsidR="00965B82" w:rsidRDefault="00965B82" w:rsidP="00965B82">
      <w:pPr>
        <w:pStyle w:val="Web"/>
        <w:contextualSpacing/>
        <w:jc w:val="center"/>
      </w:pPr>
      <w:proofErr w:type="spellStart"/>
      <w:r>
        <w:t>Περ</w:t>
      </w:r>
      <w:proofErr w:type="spellEnd"/>
      <w:r>
        <w:t>/κη Δ/</w:t>
      </w:r>
      <w:proofErr w:type="spellStart"/>
      <w:r>
        <w:t>νση</w:t>
      </w:r>
      <w:proofErr w:type="spellEnd"/>
      <w:r>
        <w:t xml:space="preserve"> Εκ/σης Θεσσαλίας</w:t>
      </w:r>
    </w:p>
    <w:p w:rsidR="00965B82" w:rsidRDefault="00965B82" w:rsidP="00965B82">
      <w:pPr>
        <w:pStyle w:val="Web"/>
        <w:contextualSpacing/>
        <w:jc w:val="center"/>
      </w:pPr>
      <w:r w:rsidRPr="007F46E1">
        <w:t>«</w:t>
      </w:r>
      <w:proofErr w:type="spellStart"/>
      <w:r w:rsidRPr="007F46E1">
        <w:t>Μεταλυκειακό</w:t>
      </w:r>
      <w:proofErr w:type="spellEnd"/>
      <w:r w:rsidRPr="007F46E1">
        <w:t xml:space="preserve"> Έτος - Τάξη Μαθητείας»</w:t>
      </w:r>
    </w:p>
    <w:p w:rsidR="00965B82" w:rsidRDefault="00965B82" w:rsidP="00D33FD1">
      <w:pPr>
        <w:pStyle w:val="Web"/>
        <w:contextualSpacing/>
        <w:jc w:val="both"/>
      </w:pPr>
    </w:p>
    <w:p w:rsidR="00FA26DB" w:rsidRPr="007F46E1" w:rsidRDefault="00FA26DB" w:rsidP="00D33FD1">
      <w:pPr>
        <w:pStyle w:val="Web"/>
        <w:contextualSpacing/>
        <w:jc w:val="both"/>
      </w:pPr>
      <w:r w:rsidRPr="007F46E1">
        <w:t xml:space="preserve">Το ΥΠΠΕΘ </w:t>
      </w:r>
      <w:r w:rsidR="00A96D8B">
        <w:t xml:space="preserve">στο </w:t>
      </w:r>
      <w:r w:rsidR="00965B82">
        <w:t>πλαίσιο</w:t>
      </w:r>
      <w:r w:rsidR="00A96D8B">
        <w:t xml:space="preserve"> της</w:t>
      </w:r>
      <w:r w:rsidRPr="007F46E1">
        <w:t xml:space="preserve"> αναβάθμιση</w:t>
      </w:r>
      <w:r w:rsidR="00A96D8B">
        <w:t>ς</w:t>
      </w:r>
      <w:r w:rsidRPr="007F46E1">
        <w:t xml:space="preserve"> τ</w:t>
      </w:r>
      <w:r w:rsidR="00A96D8B">
        <w:t>ων</w:t>
      </w:r>
      <w:r w:rsidRPr="007F46E1">
        <w:t xml:space="preserve"> ΕΠΑΛ προωθεί μια </w:t>
      </w:r>
      <w:r w:rsidRPr="007F46E1">
        <w:rPr>
          <w:rStyle w:val="a3"/>
          <w:b w:val="0"/>
        </w:rPr>
        <w:t>σημαντική μεταρρύθμιση</w:t>
      </w:r>
      <w:r w:rsidRPr="007F46E1">
        <w:t xml:space="preserve"> στα Επαγγελματικά Λύκεια εφαρμόζοντας το  «</w:t>
      </w:r>
      <w:proofErr w:type="spellStart"/>
      <w:r w:rsidRPr="007F46E1">
        <w:t>Μεταλυκειακό</w:t>
      </w:r>
      <w:proofErr w:type="spellEnd"/>
      <w:r w:rsidRPr="007F46E1">
        <w:t xml:space="preserve"> Έτος - Τάξη Μαθητείας» των αποφοίτων ΕΠΑΛ</w:t>
      </w:r>
      <w:r>
        <w:t xml:space="preserve">. Με </w:t>
      </w:r>
      <w:r w:rsidR="005832A9">
        <w:t xml:space="preserve">την ανάπτυξη αυτής της </w:t>
      </w:r>
      <w:r>
        <w:t>εκπαιδευτική</w:t>
      </w:r>
      <w:r w:rsidR="005832A9">
        <w:t>ς</w:t>
      </w:r>
      <w:r>
        <w:t xml:space="preserve"> πολιτική</w:t>
      </w:r>
      <w:r w:rsidR="005832A9">
        <w:t>ς</w:t>
      </w:r>
      <w:r>
        <w:t xml:space="preserve"> </w:t>
      </w:r>
      <w:r w:rsidRPr="007F46E1">
        <w:t xml:space="preserve"> </w:t>
      </w:r>
      <w:r>
        <w:t xml:space="preserve">αναγνωρίζεται η επαγγελματική εκπαίδευση και κατάρτιση, ενισχύεται ο κοινωνικός  ρόλος </w:t>
      </w:r>
      <w:r w:rsidR="00A96D8B">
        <w:t>της και</w:t>
      </w:r>
      <w:r w:rsidRPr="007F46E1">
        <w:t xml:space="preserve"> </w:t>
      </w:r>
      <w:r>
        <w:t>περιορίζονται οι κοινωνικές ανισότητες.</w:t>
      </w:r>
    </w:p>
    <w:p w:rsidR="00FA26DB" w:rsidRPr="007F46E1" w:rsidRDefault="00FA26DB" w:rsidP="00D33FD1">
      <w:pPr>
        <w:pStyle w:val="Web"/>
        <w:contextualSpacing/>
        <w:jc w:val="both"/>
      </w:pPr>
      <w:r>
        <w:t xml:space="preserve"> Η Επαγγελματική Εκπαίδευση παρέχει ποιοτική εκπαίδευση</w:t>
      </w:r>
      <w:r w:rsidRPr="007F46E1">
        <w:t xml:space="preserve"> στους μαθητές και στ</w:t>
      </w:r>
      <w:r>
        <w:t>ις μαθήτριες που την επιλέγουν, ασφαλείς επαγγελματικές διεξόδους</w:t>
      </w:r>
      <w:r w:rsidRPr="007F46E1">
        <w:t xml:space="preserve"> στους αποφοίτους της</w:t>
      </w:r>
      <w:r w:rsidRPr="007A78CA">
        <w:t xml:space="preserve"> </w:t>
      </w:r>
      <w:r>
        <w:t xml:space="preserve">και εναρμονίζεται </w:t>
      </w:r>
      <w:r w:rsidRPr="007F46E1">
        <w:t xml:space="preserve"> με τις απαιτήσεις της ελληνικής κοινωνίας και οικονομίας</w:t>
      </w:r>
      <w:r>
        <w:t>.</w:t>
      </w:r>
    </w:p>
    <w:p w:rsidR="00082239" w:rsidRPr="007F46E1" w:rsidRDefault="00FA26DB" w:rsidP="00082239">
      <w:pPr>
        <w:pStyle w:val="Web"/>
        <w:contextualSpacing/>
        <w:jc w:val="both"/>
      </w:pPr>
      <w:r w:rsidRPr="007F46E1">
        <w:t>Ο θεσμός του «</w:t>
      </w:r>
      <w:proofErr w:type="spellStart"/>
      <w:r w:rsidRPr="007F46E1">
        <w:t>Μεταλυκειακού</w:t>
      </w:r>
      <w:proofErr w:type="spellEnd"/>
      <w:r w:rsidRPr="007F46E1">
        <w:t xml:space="preserve"> Έτους - Τάξης Μαθητείας» των αποφοίτων ΕΠΑΛ ξεκίνησε τη σχολική χρονιά 2016-17 (</w:t>
      </w:r>
      <w:proofErr w:type="spellStart"/>
      <w:r w:rsidRPr="007F46E1">
        <w:t>Α΄Φάση</w:t>
      </w:r>
      <w:proofErr w:type="spellEnd"/>
      <w:r w:rsidRPr="007F46E1">
        <w:t>) σ</w:t>
      </w:r>
      <w:r>
        <w:t>ε 7 ειδικότητες</w:t>
      </w:r>
      <w:r w:rsidRPr="007F46E1">
        <w:t xml:space="preserve">. Για τους </w:t>
      </w:r>
      <w:r w:rsidR="00082239">
        <w:t xml:space="preserve">απόφοιτους </w:t>
      </w:r>
      <w:r>
        <w:t xml:space="preserve">αυτούς </w:t>
      </w:r>
      <w:r w:rsidRPr="007F46E1">
        <w:t xml:space="preserve">διενεργήθηκαν εξετάσεις πιστοποίησης </w:t>
      </w:r>
      <w:r>
        <w:t xml:space="preserve">στις </w:t>
      </w:r>
      <w:r w:rsidR="00082239">
        <w:t xml:space="preserve">7/7/2018, μετά από </w:t>
      </w:r>
      <w:r w:rsidR="00A96D8B">
        <w:t xml:space="preserve"> </w:t>
      </w:r>
      <w:r w:rsidR="00082239" w:rsidRPr="007F46E1">
        <w:t>δ</w:t>
      </w:r>
      <w:r w:rsidR="00082239">
        <w:t>ωρεάν</w:t>
      </w:r>
      <w:r w:rsidR="00082239" w:rsidRPr="007F46E1">
        <w:t xml:space="preserve"> 35ωρο προπαρασκευαστικό πρόγραμμα</w:t>
      </w:r>
      <w:r w:rsidR="00082239">
        <w:t>, ώστε να μην επιβαρυνθούν οικονομικά.</w:t>
      </w:r>
    </w:p>
    <w:p w:rsidR="00082239" w:rsidRDefault="00A96D8B" w:rsidP="00D33FD1">
      <w:pPr>
        <w:pStyle w:val="Web"/>
        <w:contextualSpacing/>
        <w:jc w:val="both"/>
        <w:rPr>
          <w:rStyle w:val="a3"/>
        </w:rPr>
      </w:pPr>
      <w:r>
        <w:t xml:space="preserve">Στους/στις επιτυχόντες/-ούσες </w:t>
      </w:r>
      <w:r w:rsidRPr="00FA26DB">
        <w:t xml:space="preserve">χορηγείται </w:t>
      </w:r>
      <w:r w:rsidRPr="00FA26DB">
        <w:rPr>
          <w:rStyle w:val="a3"/>
          <w:b w:val="0"/>
        </w:rPr>
        <w:t>Πτυχίο</w:t>
      </w:r>
      <w:r w:rsidRPr="00FA26DB">
        <w:t xml:space="preserve"> ειδικότητας </w:t>
      </w:r>
      <w:r w:rsidRPr="00FA26DB">
        <w:rPr>
          <w:rStyle w:val="a3"/>
          <w:b w:val="0"/>
        </w:rPr>
        <w:t>Επαγγελματικής Εκπαίδευσης και Κατάρτισης επιπέδου 5</w:t>
      </w:r>
      <w:r w:rsidRPr="00FA26DB">
        <w:rPr>
          <w:b/>
        </w:rPr>
        <w:t xml:space="preserve"> </w:t>
      </w:r>
      <w:r w:rsidRPr="00FA26DB">
        <w:t>του Εθνικού Πλαισίου Προσόντων, αναβαθμί</w:t>
      </w:r>
      <w:r w:rsidR="00082239">
        <w:t>ζοντας</w:t>
      </w:r>
      <w:r w:rsidRPr="00FA26DB">
        <w:t xml:space="preserve"> τα προσόντα τους, γεγονός που θα τους βοηθήσει </w:t>
      </w:r>
      <w:r w:rsidR="00082239">
        <w:t xml:space="preserve">για την </w:t>
      </w:r>
      <w:r w:rsidRPr="00FA26DB">
        <w:t>είσοδό τους στην αγορά εργασίας.</w:t>
      </w:r>
      <w:r w:rsidR="00082239">
        <w:t xml:space="preserve"> </w:t>
      </w:r>
      <w:r w:rsidR="00FA26DB" w:rsidRPr="00FA26DB">
        <w:rPr>
          <w:rStyle w:val="a3"/>
          <w:b w:val="0"/>
        </w:rPr>
        <w:t xml:space="preserve">Τα υψηλά ποσοστά επιτυχίας των αποφοίτων στις εξετάσεις πιστοποίησης </w:t>
      </w:r>
      <w:r w:rsidR="00082239">
        <w:rPr>
          <w:rStyle w:val="a3"/>
          <w:b w:val="0"/>
        </w:rPr>
        <w:t xml:space="preserve">σε </w:t>
      </w:r>
      <w:r w:rsidR="00FA26DB" w:rsidRPr="00FA26DB">
        <w:rPr>
          <w:rStyle w:val="a3"/>
          <w:b w:val="0"/>
        </w:rPr>
        <w:t>πανελλαδικ</w:t>
      </w:r>
      <w:r w:rsidR="00082239">
        <w:rPr>
          <w:rStyle w:val="a3"/>
          <w:b w:val="0"/>
        </w:rPr>
        <w:t>ό επίπεδο</w:t>
      </w:r>
      <w:r w:rsidR="00FA26DB" w:rsidRPr="00FA26DB">
        <w:rPr>
          <w:rStyle w:val="a3"/>
        </w:rPr>
        <w:t xml:space="preserve">, </w:t>
      </w:r>
      <w:r w:rsidR="00FA26DB" w:rsidRPr="00FA26DB">
        <w:t>αποδεικνύουν την επιτυχή υλοποίηση του θεσμού</w:t>
      </w:r>
      <w:r w:rsidR="00FA26DB" w:rsidRPr="00FA26DB">
        <w:rPr>
          <w:rStyle w:val="a3"/>
        </w:rPr>
        <w:t xml:space="preserve">. </w:t>
      </w:r>
    </w:p>
    <w:p w:rsidR="00A96D8B" w:rsidRDefault="00FA26DB" w:rsidP="00D33FD1">
      <w:pPr>
        <w:pStyle w:val="Web"/>
        <w:contextualSpacing/>
        <w:jc w:val="both"/>
      </w:pPr>
      <w:r w:rsidRPr="007F46E1">
        <w:t>Τη σχολική χρονιά 2018-2019 θα λειτουργήσει η Γ΄ Φάση «</w:t>
      </w:r>
      <w:proofErr w:type="spellStart"/>
      <w:r w:rsidRPr="007F46E1">
        <w:t>Μεταλυκειακού</w:t>
      </w:r>
      <w:proofErr w:type="spellEnd"/>
      <w:r w:rsidRPr="007F46E1">
        <w:t xml:space="preserve"> Έτους - Τάξης Μαθητείας» των αποφοίτων ΕΠΑΛ</w:t>
      </w:r>
      <w:r>
        <w:t xml:space="preserve"> με 21 ειδικότητες. </w:t>
      </w:r>
      <w:r w:rsidR="00082239">
        <w:t>Η</w:t>
      </w:r>
      <w:r w:rsidRPr="007F46E1">
        <w:t xml:space="preserve"> συμμετοχή δημοσίων και ιδιωτικών φορέων στο «Πρόγραμμα Εκπαίδευσης στον χώρο εργασίας − Μαθητεία σε εργασιακό χώρο»</w:t>
      </w:r>
      <w:r w:rsidR="00D33FD1">
        <w:t>,</w:t>
      </w:r>
      <w:r w:rsidRPr="007F46E1">
        <w:t xml:space="preserve"> </w:t>
      </w:r>
      <w:r>
        <w:t xml:space="preserve">είναι ιδιαίτερα σημαντική. Οι φορείς που συμμετέχουν </w:t>
      </w:r>
      <w:r w:rsidR="00082239">
        <w:t>διαθέτοντας</w:t>
      </w:r>
      <w:r>
        <w:t xml:space="preserve"> θέσεις μαθητείας, </w:t>
      </w:r>
      <w:r w:rsidRPr="007F46E1">
        <w:t>στηρίζουν έμπρακτα το θεσμό του «</w:t>
      </w:r>
      <w:proofErr w:type="spellStart"/>
      <w:r w:rsidRPr="007F46E1">
        <w:t>Μεταλυκειακού</w:t>
      </w:r>
      <w:proofErr w:type="spellEnd"/>
      <w:r w:rsidRPr="007F46E1">
        <w:t xml:space="preserve"> Έτους - Τάξης Μαθητείας» των </w:t>
      </w:r>
      <w:r w:rsidR="008B7AB0">
        <w:t xml:space="preserve">αποφοίτων ΕΠΑΛ προς όφελος </w:t>
      </w:r>
      <w:r w:rsidRPr="007F46E1">
        <w:t xml:space="preserve">των </w:t>
      </w:r>
      <w:r w:rsidR="008B7AB0">
        <w:t xml:space="preserve">ίδιων των </w:t>
      </w:r>
      <w:r w:rsidR="00082239">
        <w:t xml:space="preserve">φορέων και των επιχειρήσεων </w:t>
      </w:r>
      <w:r w:rsidR="008B7AB0">
        <w:t xml:space="preserve">τους, διότι </w:t>
      </w:r>
      <w:r w:rsidR="00082239">
        <w:t xml:space="preserve">τους δίνεται η δυνατότητα να απασχολήσουν </w:t>
      </w:r>
      <w:r w:rsidRPr="007F46E1">
        <w:t>μαθητευομέν</w:t>
      </w:r>
      <w:r w:rsidR="008B7AB0">
        <w:t xml:space="preserve">ους με υψηλού επιπέδου ειδίκευση αλλά και προς όφελος της </w:t>
      </w:r>
      <w:r w:rsidRPr="007F46E1">
        <w:t xml:space="preserve">τοπικής κοινωνίας. </w:t>
      </w:r>
    </w:p>
    <w:p w:rsidR="00A96D8B" w:rsidRDefault="00FA26DB" w:rsidP="00D33FD1">
      <w:pPr>
        <w:pStyle w:val="Web"/>
        <w:contextualSpacing/>
        <w:jc w:val="both"/>
      </w:pPr>
      <w:r w:rsidRPr="007F46E1">
        <w:t xml:space="preserve">Η Περιφερειακή Διεύθυνση Πρωτοβάθμιας και Δευτεροβάθμιας Εκπαίδευσης Θεσσαλίας ευχαριστεί </w:t>
      </w:r>
      <w:r>
        <w:t xml:space="preserve">όλους </w:t>
      </w:r>
      <w:r w:rsidRPr="007F46E1">
        <w:t>τους φορείς που διέθεσαν θέσεις μαθητείας</w:t>
      </w:r>
      <w:r w:rsidR="00A96D8B">
        <w:t xml:space="preserve"> και</w:t>
      </w:r>
      <w:r w:rsidR="00A96D8B" w:rsidRPr="00A96D8B">
        <w:t xml:space="preserve"> </w:t>
      </w:r>
      <w:r w:rsidR="00A96D8B" w:rsidRPr="008F096C">
        <w:t>ενημερώνει τους ενδιαφερόμενους ιδιωτικούς φορείς της Θεσσαλίας ότι</w:t>
      </w:r>
      <w:r w:rsidR="00A96D8B">
        <w:t xml:space="preserve"> </w:t>
      </w:r>
      <w:r w:rsidR="00A96D8B" w:rsidRPr="007F46E1">
        <w:t xml:space="preserve">μπορούν να δηλώσουν το ενδιαφέρον τους </w:t>
      </w:r>
      <w:r w:rsidR="00A96D8B">
        <w:t>γ</w:t>
      </w:r>
      <w:r w:rsidR="00A96D8B" w:rsidRPr="007F46E1">
        <w:t>ια την υποβολή αγγελίας θέσης μαθητείας</w:t>
      </w:r>
      <w:r w:rsidR="00A96D8B">
        <w:t xml:space="preserve"> σε απόφοιτους ΕΠΑΛ, </w:t>
      </w:r>
      <w:r w:rsidR="00A96D8B" w:rsidRPr="007F46E1">
        <w:t xml:space="preserve">στην σελίδα του </w:t>
      </w:r>
      <w:hyperlink r:id="rId5" w:history="1">
        <w:proofErr w:type="spellStart"/>
        <w:r w:rsidR="00A96D8B" w:rsidRPr="007F46E1">
          <w:rPr>
            <w:rStyle w:val="-"/>
          </w:rPr>
          <w:t>portal</w:t>
        </w:r>
        <w:proofErr w:type="spellEnd"/>
        <w:r w:rsidR="00A96D8B" w:rsidRPr="007F46E1">
          <w:rPr>
            <w:rStyle w:val="-"/>
          </w:rPr>
          <w:t xml:space="preserve"> του ΟΑΕΔ</w:t>
        </w:r>
      </w:hyperlink>
      <w:r>
        <w:t xml:space="preserve"> </w:t>
      </w:r>
      <w:r w:rsidR="00A96D8B">
        <w:t>.</w:t>
      </w:r>
    </w:p>
    <w:p w:rsidR="00A96D8B" w:rsidRDefault="00A96D8B" w:rsidP="00A96D8B">
      <w:pPr>
        <w:autoSpaceDE w:val="0"/>
        <w:autoSpaceDN w:val="0"/>
        <w:adjustRightInd w:val="0"/>
        <w:spacing w:after="0"/>
        <w:ind w:right="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ειδικότητες του προγράμματος «</w:t>
      </w:r>
      <w:proofErr w:type="spellStart"/>
      <w:r>
        <w:rPr>
          <w:rFonts w:ascii="Times New Roman" w:hAnsi="Times New Roman" w:cs="Times New Roman"/>
          <w:sz w:val="24"/>
          <w:szCs w:val="24"/>
        </w:rPr>
        <w:t>Μεταλυκειακό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Έτος - Τάξη</w:t>
      </w:r>
      <w:r w:rsidRPr="00FA26DB">
        <w:rPr>
          <w:rFonts w:ascii="Times New Roman" w:hAnsi="Times New Roman" w:cs="Times New Roman"/>
          <w:sz w:val="24"/>
          <w:szCs w:val="24"/>
        </w:rPr>
        <w:t xml:space="preserve"> Μαθητεί</w:t>
      </w:r>
      <w:r>
        <w:rPr>
          <w:rFonts w:ascii="Times New Roman" w:hAnsi="Times New Roman" w:cs="Times New Roman"/>
          <w:sz w:val="24"/>
          <w:szCs w:val="24"/>
        </w:rPr>
        <w:t>α</w:t>
      </w:r>
      <w:r w:rsidRPr="00FA26DB">
        <w:rPr>
          <w:rFonts w:ascii="Times New Roman" w:hAnsi="Times New Roman" w:cs="Times New Roman"/>
          <w:sz w:val="24"/>
          <w:szCs w:val="24"/>
        </w:rPr>
        <w:t>» των αποφοίτων ΕΠΑΛ είναι οι εξής:</w:t>
      </w:r>
    </w:p>
    <w:p w:rsidR="00A96D8B" w:rsidRPr="00FA26DB" w:rsidRDefault="00A96D8B" w:rsidP="00A96D8B">
      <w:pPr>
        <w:autoSpaceDE w:val="0"/>
        <w:autoSpaceDN w:val="0"/>
        <w:adjustRightInd w:val="0"/>
        <w:spacing w:after="0"/>
        <w:ind w:right="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505" w:type="dxa"/>
        <w:tblInd w:w="108" w:type="dxa"/>
        <w:tblLook w:val="04A0"/>
      </w:tblPr>
      <w:tblGrid>
        <w:gridCol w:w="8505"/>
      </w:tblGrid>
      <w:tr w:rsidR="00A96D8B" w:rsidRPr="00FA26DB" w:rsidTr="00554B2B">
        <w:trPr>
          <w:trHeight w:val="263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24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Τεχνικός Τεχνολογίας Τροφίμων και Ποτών</w:t>
            </w:r>
          </w:p>
        </w:tc>
      </w:tr>
      <w:tr w:rsidR="00A96D8B" w:rsidRPr="00FA26DB" w:rsidTr="00554B2B">
        <w:trPr>
          <w:trHeight w:val="211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pacing w:before="240" w:line="360" w:lineRule="auto"/>
              <w:ind w:left="175" w:hanging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Υπάλληλος Τουριστικών Επιχειρήσεων</w:t>
            </w:r>
          </w:p>
        </w:tc>
      </w:tr>
      <w:tr w:rsidR="00A96D8B" w:rsidRPr="00FA26DB" w:rsidTr="00554B2B">
        <w:trPr>
          <w:trHeight w:val="237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pacing w:before="240" w:line="360" w:lineRule="auto"/>
              <w:ind w:left="175" w:hanging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Υπάλληλος Διοίκησης και Οικονομικών Υπηρεσιών</w:t>
            </w:r>
          </w:p>
        </w:tc>
      </w:tr>
      <w:tr w:rsidR="00A96D8B" w:rsidRPr="00FA26DB" w:rsidTr="00554B2B">
        <w:trPr>
          <w:trHeight w:val="186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pacing w:before="240" w:line="360" w:lineRule="auto"/>
              <w:ind w:left="175" w:hanging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lastRenderedPageBreak/>
              <w:t>Γραφικών Τεχνών</w:t>
            </w:r>
          </w:p>
        </w:tc>
      </w:tr>
      <w:tr w:rsidR="00A96D8B" w:rsidRPr="00FA26DB" w:rsidTr="00554B2B">
        <w:trPr>
          <w:trHeight w:val="962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pacing w:before="240" w:line="360" w:lineRule="auto"/>
              <w:ind w:left="175" w:hanging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 xml:space="preserve">Τεχνικός Ηλεκτρονικών και Υπολογιστικών Συστημάτων, Εγκαταστάσεων, Δικτύων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και</w:t>
            </w: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 xml:space="preserve"> Τηλεπικοινωνιών </w:t>
            </w:r>
          </w:p>
        </w:tc>
      </w:tr>
      <w:tr w:rsidR="00A96D8B" w:rsidRPr="00FA26DB" w:rsidTr="00554B2B">
        <w:trPr>
          <w:trHeight w:val="234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before="240" w:line="360" w:lineRule="auto"/>
              <w:ind w:left="175" w:hanging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Τεχνικός Εγκαταστάσεων Ψύξης,  Αερισμού και Κλιματισμού</w:t>
            </w:r>
          </w:p>
        </w:tc>
      </w:tr>
      <w:tr w:rsidR="00A96D8B" w:rsidRPr="00FA26DB" w:rsidTr="00554B2B">
        <w:trPr>
          <w:trHeight w:val="277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pacing w:before="240" w:line="360" w:lineRule="auto"/>
              <w:ind w:left="175" w:hanging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Βοηθός Ιατρικών –Βιολογικών Εργαστηρίων</w:t>
            </w:r>
          </w:p>
        </w:tc>
      </w:tr>
      <w:tr w:rsidR="00A96D8B" w:rsidRPr="00FA26DB" w:rsidTr="00554B2B">
        <w:trPr>
          <w:trHeight w:val="232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pacing w:before="240" w:line="360" w:lineRule="auto"/>
              <w:ind w:left="175" w:hanging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Βοηθός Βρεφονηπιοκόμων</w:t>
            </w:r>
          </w:p>
        </w:tc>
      </w:tr>
      <w:tr w:rsidR="00A96D8B" w:rsidRPr="00FA26DB" w:rsidTr="00554B2B">
        <w:trPr>
          <w:trHeight w:val="251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pacing w:before="240" w:line="360" w:lineRule="auto"/>
              <w:ind w:left="175" w:hanging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Αισθητικής Τέχνη</w:t>
            </w:r>
          </w:p>
        </w:tc>
      </w:tr>
      <w:tr w:rsidR="00A96D8B" w:rsidRPr="00FA26DB" w:rsidTr="00554B2B">
        <w:trPr>
          <w:trHeight w:val="198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426"/>
              </w:tabs>
              <w:spacing w:before="240" w:line="360" w:lineRule="auto"/>
              <w:ind w:left="175" w:hanging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 xml:space="preserve">Βοηθός Φυσικοθεραπευτή </w:t>
            </w:r>
          </w:p>
        </w:tc>
      </w:tr>
      <w:tr w:rsidR="00A96D8B" w:rsidRPr="00FA26DB" w:rsidTr="00554B2B">
        <w:trPr>
          <w:trHeight w:val="164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426"/>
              </w:tabs>
              <w:spacing w:before="240" w:line="360" w:lineRule="auto"/>
              <w:ind w:left="175" w:hanging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Τεχνικός Φυτικής Παραγωγής</w:t>
            </w:r>
          </w:p>
        </w:tc>
      </w:tr>
      <w:tr w:rsidR="00A96D8B" w:rsidRPr="00FA26DB" w:rsidTr="00554B2B">
        <w:trPr>
          <w:trHeight w:val="320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240" w:line="360" w:lineRule="auto"/>
              <w:ind w:hanging="46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 xml:space="preserve">Τεχνικός Δομικών Έργων και </w:t>
            </w:r>
            <w:proofErr w:type="spellStart"/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Γεωπληροφορικής</w:t>
            </w:r>
            <w:proofErr w:type="spellEnd"/>
          </w:p>
        </w:tc>
      </w:tr>
      <w:tr w:rsidR="00A96D8B" w:rsidRPr="00FA26DB" w:rsidTr="00554B2B">
        <w:trPr>
          <w:trHeight w:val="340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240" w:line="360" w:lineRule="auto"/>
              <w:ind w:hanging="46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Τεχνικός Ηλεκτρολογικών Συστημάτων, Εγκαταστάσεων και Δικτύων</w:t>
            </w:r>
          </w:p>
        </w:tc>
      </w:tr>
      <w:tr w:rsidR="00A96D8B" w:rsidRPr="00FA26DB" w:rsidTr="00554B2B">
        <w:trPr>
          <w:trHeight w:val="263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240" w:line="360" w:lineRule="auto"/>
              <w:ind w:hanging="46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Τεχνικός Οχημάτων</w:t>
            </w:r>
          </w:p>
        </w:tc>
      </w:tr>
      <w:tr w:rsidR="00A96D8B" w:rsidRPr="00FA26DB" w:rsidTr="00554B2B">
        <w:trPr>
          <w:trHeight w:val="269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240" w:line="360" w:lineRule="auto"/>
              <w:ind w:hanging="46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Τεχνικός Εφαρμογών Πληροφορικής</w:t>
            </w:r>
          </w:p>
        </w:tc>
      </w:tr>
      <w:tr w:rsidR="00A96D8B" w:rsidRPr="00FA26DB" w:rsidTr="00554B2B">
        <w:trPr>
          <w:trHeight w:val="263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240" w:line="360" w:lineRule="auto"/>
              <w:ind w:hanging="46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Βοηθός Νοσηλευτή</w:t>
            </w:r>
          </w:p>
        </w:tc>
      </w:tr>
      <w:tr w:rsidR="00A96D8B" w:rsidRPr="00FA26DB" w:rsidTr="00554B2B">
        <w:trPr>
          <w:trHeight w:val="269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before="240" w:line="360" w:lineRule="auto"/>
              <w:ind w:hanging="46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 xml:space="preserve">Συντήρησης Έργων Τέχνης – Αποκατάστασης </w:t>
            </w:r>
          </w:p>
        </w:tc>
      </w:tr>
      <w:tr w:rsidR="00A96D8B" w:rsidRPr="00FA26DB" w:rsidTr="00554B2B">
        <w:trPr>
          <w:trHeight w:val="292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240" w:line="360" w:lineRule="auto"/>
              <w:ind w:hanging="46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Τεχνικός Μηχανολογικών Εγκαταστάσεων και Κατασκευών</w:t>
            </w:r>
          </w:p>
        </w:tc>
      </w:tr>
      <w:tr w:rsidR="00A96D8B" w:rsidRPr="00FA26DB" w:rsidTr="00554B2B">
        <w:trPr>
          <w:trHeight w:val="269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240" w:line="360" w:lineRule="auto"/>
              <w:ind w:left="505" w:hanging="47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Τεχνικός Η/Υ και Δικτύων Η/Υ</w:t>
            </w:r>
          </w:p>
        </w:tc>
      </w:tr>
      <w:tr w:rsidR="00A96D8B" w:rsidRPr="00FA26DB" w:rsidTr="00554B2B">
        <w:trPr>
          <w:trHeight w:val="263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240" w:line="360" w:lineRule="auto"/>
              <w:ind w:hanging="46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Βοηθός Φαρμακείου</w:t>
            </w:r>
          </w:p>
        </w:tc>
      </w:tr>
      <w:tr w:rsidR="00A96D8B" w:rsidRPr="00FA26DB" w:rsidTr="00554B2B">
        <w:trPr>
          <w:trHeight w:val="35"/>
        </w:trPr>
        <w:tc>
          <w:tcPr>
            <w:tcW w:w="8505" w:type="dxa"/>
          </w:tcPr>
          <w:p w:rsidR="00A96D8B" w:rsidRPr="00FA26DB" w:rsidRDefault="00A96D8B" w:rsidP="00554B2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2127"/>
              </w:tabs>
              <w:spacing w:before="240" w:line="360" w:lineRule="auto"/>
              <w:ind w:hanging="46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</w:pPr>
            <w:r w:rsidRPr="00FA26D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/>
              </w:rPr>
              <w:t>Κομμωτικής Τέχνης</w:t>
            </w:r>
          </w:p>
        </w:tc>
      </w:tr>
    </w:tbl>
    <w:p w:rsidR="00A96D8B" w:rsidRDefault="00A96D8B" w:rsidP="00D33FD1">
      <w:pPr>
        <w:pStyle w:val="Web"/>
        <w:contextualSpacing/>
        <w:jc w:val="both"/>
      </w:pPr>
    </w:p>
    <w:p w:rsidR="00965B82" w:rsidRDefault="00A96D8B" w:rsidP="00D33FD1">
      <w:pPr>
        <w:pStyle w:val="Web"/>
        <w:contextualSpacing/>
        <w:jc w:val="both"/>
      </w:pPr>
      <w:r>
        <w:t>Τέλος</w:t>
      </w:r>
      <w:r w:rsidR="008B7AB0">
        <w:t xml:space="preserve">, η </w:t>
      </w:r>
      <w:r w:rsidR="00183208">
        <w:t>Περιφερειακή</w:t>
      </w:r>
      <w:r w:rsidR="008B7AB0">
        <w:t xml:space="preserve"> Δ/</w:t>
      </w:r>
      <w:proofErr w:type="spellStart"/>
      <w:r w:rsidR="008B7AB0">
        <w:t>ντρια</w:t>
      </w:r>
      <w:proofErr w:type="spellEnd"/>
      <w:r w:rsidR="008B7AB0">
        <w:t xml:space="preserve"> Εκ/σης Θεσσαλίας</w:t>
      </w:r>
      <w:r w:rsidR="00183208">
        <w:t>, κ. Ελένη Αναστασοπούλου</w:t>
      </w:r>
      <w:r w:rsidR="008B7AB0">
        <w:t xml:space="preserve"> και οι </w:t>
      </w:r>
      <w:r w:rsidR="00183208">
        <w:t xml:space="preserve">αρμόδιοι </w:t>
      </w:r>
      <w:r w:rsidR="008B7AB0">
        <w:t>συνεργάτες της υπηρεσίας  εκφράζουν</w:t>
      </w:r>
      <w:r>
        <w:t xml:space="preserve"> και δημόσια τις θερμές </w:t>
      </w:r>
      <w:r w:rsidR="008B7AB0">
        <w:t xml:space="preserve">ευχαριστίες </w:t>
      </w:r>
      <w:r w:rsidR="008B7AB0">
        <w:lastRenderedPageBreak/>
        <w:t>τους</w:t>
      </w:r>
      <w:r>
        <w:t xml:space="preserve"> για τη συνεργασία τους </w:t>
      </w:r>
      <w:r w:rsidR="00965B82">
        <w:t>ιδιωτικούς και τους</w:t>
      </w:r>
      <w:r>
        <w:t xml:space="preserve"> </w:t>
      </w:r>
      <w:r w:rsidR="00965B82">
        <w:t xml:space="preserve">παρακάτω </w:t>
      </w:r>
      <w:r>
        <w:t>δημόσιους  φορείς που διέθεσαν θέσεις μαθητείας</w:t>
      </w:r>
      <w:r w:rsidR="00965B82">
        <w:t xml:space="preserve">. </w:t>
      </w:r>
    </w:p>
    <w:p w:rsidR="00FA26DB" w:rsidRPr="00FF5C0E" w:rsidRDefault="00FA26DB" w:rsidP="00D33FD1">
      <w:pPr>
        <w:pStyle w:val="Web"/>
        <w:contextualSpacing/>
        <w:jc w:val="both"/>
        <w:rPr>
          <w:sz w:val="22"/>
          <w:szCs w:val="22"/>
        </w:rPr>
      </w:pPr>
      <w:r w:rsidRPr="00FF5C0E">
        <w:rPr>
          <w:sz w:val="22"/>
          <w:szCs w:val="22"/>
        </w:rPr>
        <w:t>ΓΕΣ Ν. ΛΑΡΙΣΑΣ: 1</w:t>
      </w:r>
      <w:r w:rsidRPr="00FF5C0E">
        <w:rPr>
          <w:sz w:val="22"/>
          <w:szCs w:val="22"/>
          <w:vertAlign w:val="superscript"/>
        </w:rPr>
        <w:t>Η</w:t>
      </w:r>
      <w:r w:rsidRPr="00FF5C0E">
        <w:rPr>
          <w:sz w:val="22"/>
          <w:szCs w:val="22"/>
        </w:rPr>
        <w:t xml:space="preserve"> ΣΤΡΑΤΙΑ, 303ΠΕΒ, 361ΠΑΠ, 404 ΓΣΝ, 882 ΤΕΜ, ΒΝΣ, ΚΕΝΟΚ, ΣΠ</w:t>
      </w:r>
      <w:r>
        <w:rPr>
          <w:sz w:val="22"/>
          <w:szCs w:val="22"/>
        </w:rPr>
        <w:t xml:space="preserve">, </w:t>
      </w:r>
      <w:r w:rsidRPr="00FF5C0E">
        <w:rPr>
          <w:sz w:val="22"/>
          <w:szCs w:val="22"/>
        </w:rPr>
        <w:t>ΓΕΣ ΤΡΙΚΑΛΩΝ: ΣΜΥ, ΓΕΣ ΜΑΓΝΗΣΙΑΣ: 307 ΠΕΒ, 1</w:t>
      </w:r>
      <w:r w:rsidRPr="00FF5C0E">
        <w:rPr>
          <w:sz w:val="22"/>
          <w:szCs w:val="22"/>
          <w:vertAlign w:val="superscript"/>
        </w:rPr>
        <w:t>Ο</w:t>
      </w:r>
      <w:r w:rsidRPr="00FF5C0E">
        <w:rPr>
          <w:sz w:val="22"/>
          <w:szCs w:val="22"/>
        </w:rPr>
        <w:t xml:space="preserve"> ΤΥΑΔ </w:t>
      </w:r>
    </w:p>
    <w:p w:rsidR="00FA26DB" w:rsidRPr="00FF5C0E" w:rsidRDefault="00FA26DB" w:rsidP="00D33FD1">
      <w:pPr>
        <w:pStyle w:val="Web"/>
        <w:contextualSpacing/>
        <w:jc w:val="both"/>
        <w:rPr>
          <w:sz w:val="22"/>
          <w:szCs w:val="22"/>
        </w:rPr>
      </w:pPr>
      <w:r w:rsidRPr="00FF5C0E">
        <w:rPr>
          <w:sz w:val="22"/>
          <w:szCs w:val="22"/>
        </w:rPr>
        <w:t>ΓΕΑ:110 ΠΜ</w:t>
      </w:r>
    </w:p>
    <w:p w:rsidR="00FA26DB" w:rsidRPr="00FF5C0E" w:rsidRDefault="00FA26DB" w:rsidP="00D33FD1">
      <w:pPr>
        <w:pStyle w:val="Web"/>
        <w:contextualSpacing/>
        <w:jc w:val="both"/>
        <w:rPr>
          <w:sz w:val="22"/>
          <w:szCs w:val="22"/>
        </w:rPr>
      </w:pPr>
      <w:r w:rsidRPr="00FF5C0E">
        <w:rPr>
          <w:sz w:val="22"/>
          <w:szCs w:val="22"/>
        </w:rPr>
        <w:t>5</w:t>
      </w:r>
      <w:r w:rsidRPr="00FF5C0E">
        <w:rPr>
          <w:sz w:val="22"/>
          <w:szCs w:val="22"/>
          <w:vertAlign w:val="superscript"/>
        </w:rPr>
        <w:t>Η</w:t>
      </w:r>
      <w:r w:rsidRPr="00FF5C0E">
        <w:rPr>
          <w:sz w:val="22"/>
          <w:szCs w:val="22"/>
        </w:rPr>
        <w:t xml:space="preserve"> ΥΠΕ ΘΕΣΣΑΛΙΑΣ ΚΑΙ ΣΤΕΡΕΑΣ</w:t>
      </w:r>
    </w:p>
    <w:p w:rsidR="00FA26DB" w:rsidRPr="00FF5C0E" w:rsidRDefault="00FA26DB" w:rsidP="00D33FD1">
      <w:pPr>
        <w:pStyle w:val="Web"/>
        <w:contextualSpacing/>
        <w:jc w:val="both"/>
        <w:rPr>
          <w:sz w:val="22"/>
          <w:szCs w:val="22"/>
        </w:rPr>
      </w:pPr>
      <w:r w:rsidRPr="00FF5C0E">
        <w:rPr>
          <w:sz w:val="22"/>
          <w:szCs w:val="22"/>
        </w:rPr>
        <w:t>ΠΕΡΙΦΕΡΕΙΑ ΘΕΣΣΑΛΙΑΣ ΠΕ ΛΑΡΙΣΑΣ, ΚΑΡΔΙΤΣΑΣ, ΤΙΚΑΛΩΝ, ΜΑΓΝΗΣΙΑΣ</w:t>
      </w:r>
    </w:p>
    <w:p w:rsidR="00FA26DB" w:rsidRPr="00FF5C0E" w:rsidRDefault="00FA26DB" w:rsidP="00D33FD1">
      <w:pPr>
        <w:pStyle w:val="Web"/>
        <w:contextualSpacing/>
        <w:jc w:val="both"/>
        <w:rPr>
          <w:sz w:val="22"/>
          <w:szCs w:val="22"/>
        </w:rPr>
      </w:pPr>
      <w:r w:rsidRPr="00FF5C0E">
        <w:rPr>
          <w:sz w:val="22"/>
          <w:szCs w:val="22"/>
        </w:rPr>
        <w:t>ΚΕΝΤΡΟ ΚΟΙΝΩΝΙΚΗΣ ΠΡΟΝΟΙΑΣ ΘΕΣΣΑΛΙΑΣ</w:t>
      </w:r>
    </w:p>
    <w:p w:rsidR="00FA26DB" w:rsidRPr="00FF5C0E" w:rsidRDefault="00FA26DB" w:rsidP="00D33FD1">
      <w:pPr>
        <w:pStyle w:val="Web"/>
        <w:contextualSpacing/>
        <w:jc w:val="both"/>
        <w:rPr>
          <w:sz w:val="22"/>
          <w:szCs w:val="22"/>
        </w:rPr>
      </w:pPr>
      <w:r w:rsidRPr="00FF5C0E">
        <w:rPr>
          <w:sz w:val="22"/>
          <w:szCs w:val="22"/>
        </w:rPr>
        <w:t>ΠΑΝΕΠΙΣΤΗΜΙΑΚΟ ΝΟΣΟΚΟΜΕΙΟ ΛΑΡΙΣΑΣ</w:t>
      </w:r>
    </w:p>
    <w:p w:rsidR="00FA26DB" w:rsidRPr="00FF5C0E" w:rsidRDefault="00FA26DB" w:rsidP="00D33FD1">
      <w:pPr>
        <w:pStyle w:val="Web"/>
        <w:contextualSpacing/>
        <w:jc w:val="both"/>
        <w:rPr>
          <w:sz w:val="22"/>
          <w:szCs w:val="22"/>
        </w:rPr>
      </w:pPr>
      <w:r w:rsidRPr="00FF5C0E">
        <w:rPr>
          <w:sz w:val="22"/>
          <w:szCs w:val="22"/>
        </w:rPr>
        <w:t>ΚΟΥΤΛΙΜΠΑΝΕΙΟ ΚΑΙ ΤΡΙΑΝΤΑΦΥΛΛΕΙΟ Γ. ΝΟΣΟΚΟΜΕΙΟ ΛΑΡΙΣΑΣ</w:t>
      </w:r>
    </w:p>
    <w:p w:rsidR="00FA26DB" w:rsidRPr="00FF5C0E" w:rsidRDefault="00FA26DB" w:rsidP="00D33FD1">
      <w:pPr>
        <w:pStyle w:val="Web"/>
        <w:contextualSpacing/>
        <w:jc w:val="both"/>
        <w:rPr>
          <w:sz w:val="22"/>
          <w:szCs w:val="22"/>
        </w:rPr>
      </w:pPr>
      <w:r w:rsidRPr="00FF5C0E">
        <w:rPr>
          <w:sz w:val="22"/>
          <w:szCs w:val="22"/>
        </w:rPr>
        <w:t>ΓΕΝΙΚΟ ΝΟΣΟΚΟΜΕΙΟ ΚΑΡΔΙΤΣΑΣ</w:t>
      </w:r>
    </w:p>
    <w:p w:rsidR="00FA26DB" w:rsidRPr="00FF5C0E" w:rsidRDefault="00FA26DB" w:rsidP="00D33FD1">
      <w:pPr>
        <w:pStyle w:val="Web"/>
        <w:contextualSpacing/>
        <w:jc w:val="both"/>
        <w:rPr>
          <w:sz w:val="22"/>
          <w:szCs w:val="22"/>
        </w:rPr>
      </w:pPr>
      <w:r w:rsidRPr="00FF5C0E">
        <w:rPr>
          <w:sz w:val="22"/>
          <w:szCs w:val="22"/>
        </w:rPr>
        <w:t>ΓΕΝΙΚΟ ΝΟΣΟΚΟΜΕΙΟ ΤΡΙΚΑΛΩΝ</w:t>
      </w:r>
    </w:p>
    <w:p w:rsidR="00FA26DB" w:rsidRPr="00FF5C0E" w:rsidRDefault="00FA26DB" w:rsidP="00D33FD1">
      <w:pPr>
        <w:pStyle w:val="Web"/>
        <w:contextualSpacing/>
        <w:jc w:val="both"/>
        <w:rPr>
          <w:sz w:val="22"/>
          <w:szCs w:val="22"/>
        </w:rPr>
      </w:pPr>
      <w:r w:rsidRPr="00FF5C0E">
        <w:rPr>
          <w:sz w:val="22"/>
          <w:szCs w:val="22"/>
        </w:rPr>
        <w:t>ΔΗΜΟΙ: Δ. ΛΑΡΙΣΑΙΩΝ,  Δ. ΑΓΙΑΣ, Δ. ΕΛΑΣΣΟΝΑΣ, Δ. ΤΥΡΝΑΒΟΥ, Δ. ΦΑΡΣΑΛΩΝ, Δ. ΚΙΛΕΛΕΡ, Δ. ΤΕΜΠΩΝ, Δ. ΤΡΙΚΚΑΙΩΝ, Δ. ΚΑΛΑΜΠΑΚΑΣ, Δ. ΠΥΛΗΣ, Δ. ΦΑΡΚΑΔΟΝΑΣ, Δ. ΑΛΜΥΡΟΥ, Δ. ΡΗΓΑ ΦΕΡΑΙΟΥ, Δ. ΚΑΡΔΙΤΣΑΣ, Δ. ΜΟΥΖΑΚΙΟΥ, Δ. ΠΑΛΑΜΑ.</w:t>
      </w:r>
    </w:p>
    <w:p w:rsidR="00FA26DB" w:rsidRPr="00FF5C0E" w:rsidRDefault="00FA26DB" w:rsidP="00D33FD1">
      <w:pPr>
        <w:pStyle w:val="Web"/>
        <w:contextualSpacing/>
        <w:jc w:val="both"/>
        <w:rPr>
          <w:sz w:val="22"/>
          <w:szCs w:val="22"/>
        </w:rPr>
      </w:pPr>
      <w:r w:rsidRPr="00FF5C0E">
        <w:rPr>
          <w:sz w:val="22"/>
          <w:szCs w:val="22"/>
        </w:rPr>
        <w:t>ΔΕΥΑ: ΛΑΡΙΣΑΣ, ΦΑΡΣΑΛΩΝ, ΜΕΙΖΟΝΟΣ ΠΕΡΙΟΧΗΣ ΒΟΛΟΥ</w:t>
      </w:r>
    </w:p>
    <w:p w:rsidR="00FA26DB" w:rsidRPr="00FF5C0E" w:rsidRDefault="00FA26DB" w:rsidP="00D33FD1">
      <w:pPr>
        <w:pStyle w:val="Web"/>
        <w:contextualSpacing/>
        <w:jc w:val="both"/>
        <w:rPr>
          <w:sz w:val="22"/>
          <w:szCs w:val="22"/>
        </w:rPr>
      </w:pPr>
      <w:r w:rsidRPr="00FF5C0E">
        <w:rPr>
          <w:sz w:val="22"/>
          <w:szCs w:val="22"/>
        </w:rPr>
        <w:t>ΕΠΙΜΕΛΗΤΗΡΙΟ ΤΡΙΚΑΛΩΝ, ΔΕΔΔΗΕ, ΑΔΜΗΕ, ΕΡΤ, ΟΣΕ, ΕΟΠΥΥ, ΟΡΓΑΝΙΣΜΟΣ ΕΠΙΔΟΜΑΤΩΝ ΚΟΙΝΩΝΙΚΗΣ ΑΛΛΗΛΕΓΓΥΗΣ</w:t>
      </w:r>
    </w:p>
    <w:p w:rsidR="00FA26DB" w:rsidRPr="00FA26DB" w:rsidRDefault="00FA26DB" w:rsidP="00D33FD1">
      <w:pPr>
        <w:contextualSpacing/>
        <w:rPr>
          <w:sz w:val="24"/>
          <w:szCs w:val="24"/>
          <w:lang w:val="en-US"/>
        </w:rPr>
      </w:pPr>
    </w:p>
    <w:p w:rsidR="00FA26DB" w:rsidRPr="00FA26DB" w:rsidRDefault="00FA26DB" w:rsidP="00D33FD1">
      <w:pPr>
        <w:contextualSpacing/>
        <w:rPr>
          <w:sz w:val="24"/>
          <w:szCs w:val="24"/>
          <w:lang w:val="en-US"/>
        </w:rPr>
      </w:pPr>
    </w:p>
    <w:p w:rsidR="009109CB" w:rsidRPr="00FA26DB" w:rsidRDefault="00815F89" w:rsidP="00D33FD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9109CB" w:rsidRPr="00FA26DB" w:rsidSect="00B97A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1B3D"/>
    <w:multiLevelType w:val="hybridMultilevel"/>
    <w:tmpl w:val="480EB26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A26DB"/>
    <w:rsid w:val="00082239"/>
    <w:rsid w:val="00183208"/>
    <w:rsid w:val="0045134C"/>
    <w:rsid w:val="005832A9"/>
    <w:rsid w:val="00815A74"/>
    <w:rsid w:val="008B7AB0"/>
    <w:rsid w:val="00965B82"/>
    <w:rsid w:val="00A96D8B"/>
    <w:rsid w:val="00C74664"/>
    <w:rsid w:val="00D04862"/>
    <w:rsid w:val="00D33FD1"/>
    <w:rsid w:val="00FA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A26DB"/>
    <w:rPr>
      <w:b/>
      <w:bCs/>
    </w:rPr>
  </w:style>
  <w:style w:type="character" w:styleId="-">
    <w:name w:val="Hyperlink"/>
    <w:basedOn w:val="a0"/>
    <w:uiPriority w:val="99"/>
    <w:unhideWhenUsed/>
    <w:rsid w:val="00FA26DB"/>
    <w:rPr>
      <w:color w:val="0000FF" w:themeColor="hyperlink"/>
      <w:u w:val="single"/>
    </w:rPr>
  </w:style>
  <w:style w:type="paragraph" w:customStyle="1" w:styleId="a4">
    <w:name w:val="Στυλ Κέντρο"/>
    <w:basedOn w:val="a"/>
    <w:uiPriority w:val="99"/>
    <w:rsid w:val="00FA26DB"/>
    <w:pPr>
      <w:overflowPunct w:val="0"/>
      <w:autoSpaceDE w:val="0"/>
      <w:autoSpaceDN w:val="0"/>
      <w:adjustRightInd w:val="0"/>
      <w:jc w:val="center"/>
      <w:textAlignment w:val="baseline"/>
    </w:pPr>
    <w:rPr>
      <w:rFonts w:eastAsia="SimSun"/>
      <w:lang w:val="en-US" w:eastAsia="zh-CN"/>
    </w:rPr>
  </w:style>
  <w:style w:type="table" w:styleId="a5">
    <w:name w:val="Table Grid"/>
    <w:basedOn w:val="a1"/>
    <w:uiPriority w:val="59"/>
    <w:rsid w:val="00FA26DB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ed.gr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</cp:lastModifiedBy>
  <cp:revision>2</cp:revision>
  <dcterms:created xsi:type="dcterms:W3CDTF">2018-08-31T11:47:00Z</dcterms:created>
  <dcterms:modified xsi:type="dcterms:W3CDTF">2018-08-31T11:47:00Z</dcterms:modified>
</cp:coreProperties>
</file>